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9450" cy="9702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44" r="-7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>IAMCR Committee and Task Force Project Fund</w:t>
      </w:r>
    </w:p>
    <w:p>
      <w:pPr>
        <w:pStyle w:val="Normal"/>
        <w:spacing w:lineRule="auto" w:line="240" w:before="0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 xml:space="preserve">IAMCR’s Executive Board (EB) invites </w:t>
      </w:r>
      <w:r>
        <w:rPr>
          <w:sz w:val="24"/>
          <w:szCs w:val="24"/>
          <w:lang w:val="en-US"/>
        </w:rPr>
        <w:t xml:space="preserve">IAMCR committees and task forces (C&amp;TF) </w:t>
      </w:r>
      <w:r>
        <w:rPr>
          <w:sz w:val="24"/>
          <w:szCs w:val="24"/>
        </w:rPr>
        <w:t>to submit funding proposals for activities that support and advance the C&amp;TF’s agendas. A proposed activity should contribute to the following overall objectives:</w:t>
      </w:r>
    </w:p>
    <w:p>
      <w:pPr>
        <w:pStyle w:val="Normal"/>
        <w:spacing w:lineRule="auto" w:line="240" w:before="0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tbl>
      <w:tblPr>
        <w:tblW w:w="9252" w:type="dxa"/>
        <w:jc w:val="left"/>
        <w:tblInd w:w="-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52"/>
      </w:tblGrid>
      <w:tr>
        <w:trPr/>
        <w:tc>
          <w:tcPr>
            <w:tcW w:w="9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41" w:right="0" w:hanging="284"/>
              <w:contextualSpacing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Primary objective: Support the activities of the C&amp;TF in relation to the realization of its remit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41" w:right="0" w:hanging="284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Secondary objective 2: Increase the participation of IAMCR members in the C&amp;TF.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441" w:right="0" w:hanging="284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Secondary objective 1: Allow the C&amp;TF to expand its activities (within the framework of its remit).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Examples are: C&amp;TF advocacy and (internal and external) outreach, C&amp;TF events (expert workshops, training sessions, etc.), C&amp;TF publications (books and/or journals), etc.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Examples of activities not eligible for funding include: support of activities primarily organised by others, travel by applicants to events, organisation of events within or in parallel with the main IAMCR conference.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tbl>
      <w:tblPr>
        <w:tblW w:w="9252" w:type="dxa"/>
        <w:jc w:val="left"/>
        <w:tblInd w:w="-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52"/>
      </w:tblGrid>
      <w:tr>
        <w:trPr/>
        <w:tc>
          <w:tcPr>
            <w:tcW w:w="9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proposed project should comply with the following conditions: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0" w:hanging="36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 should be aimed at fulfilling the primary objective of the fund, as outlined above, and at least one of the secondary objectives.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0" w:hanging="360"/>
              <w:contextualSpacing/>
              <w:rPr/>
            </w:pPr>
            <w:r>
              <w:rPr>
                <w:sz w:val="24"/>
                <w:szCs w:val="24"/>
              </w:rPr>
              <w:t>It must be in alignment with the IAMCR remit, as described on the IAMCR website (</w:t>
            </w:r>
            <w:hyperlink r:id="rId3">
              <w:r>
                <w:rPr>
                  <w:rStyle w:val="InternetLink"/>
                  <w:sz w:val="24"/>
                  <w:szCs w:val="24"/>
                </w:rPr>
                <w:t>http://iamcr.org/objectives</w:t>
              </w:r>
            </w:hyperlink>
            <w:r>
              <w:rPr>
                <w:sz w:val="24"/>
                <w:szCs w:val="24"/>
              </w:rPr>
              <w:t>).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0" w:hanging="360"/>
              <w:contextualSpacing/>
              <w:rPr/>
            </w:pPr>
            <w:r>
              <w:rPr>
                <w:sz w:val="24"/>
                <w:szCs w:val="24"/>
              </w:rPr>
              <w:t xml:space="preserve">The main applicant is the </w:t>
            </w:r>
            <w:r>
              <w:rPr>
                <w:sz w:val="24"/>
                <w:szCs w:val="24"/>
                <w:lang w:val="en-US"/>
              </w:rPr>
              <w:t>Chair of an IAMCR Committee or Task Force</w:t>
            </w:r>
            <w:r>
              <w:rPr>
                <w:sz w:val="24"/>
                <w:szCs w:val="24"/>
              </w:rPr>
              <w:t xml:space="preserve">. Applications can be submitted by an individual </w:t>
            </w:r>
            <w:r>
              <w:rPr>
                <w:sz w:val="24"/>
                <w:szCs w:val="24"/>
                <w:lang w:val="en-US"/>
              </w:rPr>
              <w:t>Committee or Task Force</w:t>
            </w:r>
            <w:r>
              <w:rPr>
                <w:sz w:val="24"/>
                <w:szCs w:val="24"/>
              </w:rPr>
              <w:t xml:space="preserve">, but co-applicants are encouraged. If other C&amp;TFs are co-applicants, their agreement must be provided by the Head of that </w:t>
            </w:r>
            <w:r>
              <w:rPr>
                <w:sz w:val="24"/>
                <w:szCs w:val="24"/>
                <w:lang w:val="en-US"/>
              </w:rPr>
              <w:t>Committee or Task Force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Proposals must include a clear description of: 1) the applicant(s), 2) the project objectives, 3) the target group(s), 4) the expected outcomes, including tangible deliverables of the project, 5) a work plan and detailed schedule, and 6) a detailed budget.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0" w:hanging="36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 should have a maximum duration of two years.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0" w:hanging="36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 should be self-sustainable after the completion of the project – no additional IAMCR resources will be provided after project completion.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0" w:hanging="36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main applicant, together with co-applicants, is responsible for the implementation of the project towards the IAMCR Executive Board. Responsibilities can be delegated to others, but the main applicant retains ultimate responsibility.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0" w:hanging="360"/>
              <w:contextualSpacing/>
              <w:rPr/>
            </w:pPr>
            <w:r>
              <w:rPr>
                <w:sz w:val="24"/>
                <w:szCs w:val="24"/>
                <w:lang w:val="en-US"/>
              </w:rPr>
              <w:t xml:space="preserve">The requested project subsidy from IAMCR should not exceed USD 2,000. If the total cost of the project exceeds this maximum subsidy of USD 2,000, </w:t>
            </w:r>
            <w:r>
              <w:rPr>
                <w:sz w:val="24"/>
                <w:szCs w:val="24"/>
              </w:rPr>
              <w:t xml:space="preserve">the proposal’s budget should state clearly what additional sources of funding are available to cover all costs and make the activity viable.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0" w:hanging="360"/>
              <w:contextualSpacing/>
              <w:rPr/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  <w:lang w:val="en-US"/>
              </w:rPr>
              <w:t>Committee or Task Force</w:t>
            </w:r>
            <w:r>
              <w:rPr>
                <w:sz w:val="24"/>
                <w:szCs w:val="24"/>
              </w:rPr>
              <w:t xml:space="preserve"> can only get funding for one activity per calendar year approved (as main applicant)</w:t>
            </w:r>
            <w:r>
              <w:rPr>
                <w:sz w:val="24"/>
                <w:szCs w:val="24"/>
                <w:lang w:val="en-US"/>
              </w:rPr>
              <w:t>. An application from a Committee or Task Force that has received funds in 2 consecutive years will be given lower priority than one received by a Committee or Task Force that has not.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20" w:right="0" w:hanging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20" w:right="0" w:hanging="0"/>
              <w:contextualSpacing/>
              <w:rPr/>
            </w:pPr>
            <w:r>
              <w:rPr>
                <w:sz w:val="24"/>
                <w:szCs w:val="24"/>
                <w:lang w:val="en-US"/>
              </w:rPr>
              <w:t xml:space="preserve">Applications are evaluated by a committee, which makes recommendations to the Executive Board. Elske van der Fliert, IAMCR treasurer, chairs the committee. </w:t>
            </w:r>
            <w:hyperlink r:id="rId4">
              <w:r>
                <w:rPr>
                  <w:rStyle w:val="InternetLink"/>
                  <w:sz w:val="24"/>
                  <w:szCs w:val="24"/>
                  <w:lang w:val="en-US"/>
                </w:rPr>
                <w:t>See the list of the members of all IAMCR’s committees and task forces</w:t>
              </w:r>
            </w:hyperlink>
            <w:r>
              <w:rPr>
                <w:sz w:val="24"/>
                <w:szCs w:val="24"/>
                <w:lang w:val="en-US"/>
              </w:rPr>
              <w:t>.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Applicants whose proposal has been approved must agree to</w:t>
            </w:r>
            <w:r>
              <w:rPr>
                <w:sz w:val="24"/>
                <w:szCs w:val="24"/>
                <w:lang w:val="en-US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720" w:right="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the project at the first IAMCR conference that takes place after confirmation of project approval has been received.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720" w:right="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an agreement with the IAMCR Executive Board using IAMCR’s template.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720" w:right="0" w:hanging="360"/>
              <w:contextualSpacing/>
              <w:rPr/>
            </w:pPr>
            <w:r>
              <w:rPr>
                <w:sz w:val="24"/>
                <w:szCs w:val="24"/>
              </w:rPr>
              <w:t xml:space="preserve">Provide the IAMCR Treasurer with an account to which the project funds can be transferred. (IAMCR accounts </w:t>
            </w:r>
            <w:r>
              <w:rPr>
                <w:sz w:val="24"/>
                <w:szCs w:val="24"/>
                <w:u w:val="single"/>
              </w:rPr>
              <w:t>cannot</w:t>
            </w:r>
            <w:r>
              <w:rPr>
                <w:sz w:val="24"/>
                <w:szCs w:val="24"/>
              </w:rPr>
              <w:t xml:space="preserve"> be used for the purpose of project fund management).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720" w:right="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a project report after completion of the proposed activities, as per instructions provided in the signed agreement.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720" w:right="0" w:hanging="360"/>
              <w:contextualSpacing/>
              <w:rPr/>
            </w:pPr>
            <w:r>
              <w:rPr>
                <w:sz w:val="24"/>
                <w:szCs w:val="24"/>
              </w:rPr>
              <w:t>Prepare an article on the project for publication on the IAMCR website and distribution to the membership.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720" w:right="0" w:hanging="360"/>
              <w:contextualSpacing/>
              <w:rPr/>
            </w:pPr>
            <w:r>
              <w:rPr>
                <w:sz w:val="24"/>
                <w:szCs w:val="24"/>
              </w:rPr>
              <w:t>Acknowledge IAMCR as (one of) the funding source(s) in publications and promotional materials that are materialised with the funds.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>
        <w:br w:type="page"/>
      </w:r>
    </w:p>
    <w:p>
      <w:pPr>
        <w:pStyle w:val="Normal"/>
        <w:spacing w:lineRule="auto" w:line="240" w:before="0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tbl>
      <w:tblPr>
        <w:tblW w:w="9252" w:type="dxa"/>
        <w:jc w:val="left"/>
        <w:tblInd w:w="-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52"/>
      </w:tblGrid>
      <w:tr>
        <w:trPr/>
        <w:tc>
          <w:tcPr>
            <w:tcW w:w="9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Applications can be submitted anytime of the year but will be evaluated two times a year, as per the following timelines: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tbl>
            <w:tblPr>
              <w:tblW w:w="9030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83" w:type="dxa"/>
                <w:bottom w:w="0" w:type="dxa"/>
                <w:right w:w="108" w:type="dxa"/>
              </w:tblCellMar>
            </w:tblPr>
            <w:tblGrid>
              <w:gridCol w:w="4500"/>
              <w:gridCol w:w="4529"/>
            </w:tblGrid>
            <w:tr>
              <w:trPr/>
              <w:tc>
                <w:tcPr>
                  <w:tcW w:w="45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Application submitted </w:t>
                  </w:r>
                  <w:r>
                    <w:rPr>
                      <w:rFonts w:eastAsia="Calibri" w:cs="font404"/>
                      <w:b/>
                      <w:color w:val="00000A"/>
                      <w:kern w:val="2"/>
                      <w:sz w:val="24"/>
                      <w:szCs w:val="24"/>
                      <w:lang w:val="nl-BE" w:eastAsia="zh-CN" w:bidi="ar-SA"/>
                    </w:rPr>
                    <w:t>by</w:t>
                  </w:r>
                </w:p>
              </w:tc>
              <w:tc>
                <w:tcPr>
                  <w:tcW w:w="45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b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Announcement of decision on</w:t>
                  </w:r>
                </w:p>
              </w:tc>
            </w:tr>
            <w:tr>
              <w:trPr/>
              <w:tc>
                <w:tcPr>
                  <w:tcW w:w="45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86" w:right="0" w:hang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 January</w:t>
                  </w:r>
                </w:p>
              </w:tc>
              <w:tc>
                <w:tcPr>
                  <w:tcW w:w="45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222" w:right="0" w:hang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 February</w:t>
                  </w:r>
                </w:p>
              </w:tc>
            </w:tr>
            <w:tr>
              <w:trPr/>
              <w:tc>
                <w:tcPr>
                  <w:tcW w:w="45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186" w:right="0" w:hanging="0"/>
                    <w:rPr/>
                  </w:pPr>
                  <w:r>
                    <w:rPr>
                      <w:sz w:val="24"/>
                      <w:szCs w:val="24"/>
                    </w:rPr>
                    <w:t>31 October</w:t>
                  </w:r>
                </w:p>
              </w:tc>
              <w:tc>
                <w:tcPr>
                  <w:tcW w:w="45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left="222" w:right="0" w:hanging="0"/>
                    <w:rPr/>
                  </w:pPr>
                  <w:r>
                    <w:rPr>
                      <w:sz w:val="24"/>
                      <w:szCs w:val="24"/>
                    </w:rPr>
                    <w:t>30 November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approval and signing of the agreement, the project should be launched as soon as possible and the applicant should adhere to the reporting requirements.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apply for the C&amp;TF fund, please complete the form below and send it to the IAMCR Treasurer, Elske van de Fliert &lt;e.vandefliert@uq.edu.au&gt;.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>
        <w:br w:type="page"/>
      </w:r>
    </w:p>
    <w:p>
      <w:pPr>
        <w:pStyle w:val="Normal"/>
        <w:spacing w:lineRule="auto" w:line="240" w:before="0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5760085" cy="96583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" t="-44" r="-7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bookmarkStart w:id="1" w:name="__DdeLink__2080_1105093651"/>
      <w:bookmarkEnd w:id="1"/>
      <w:r>
        <w:rPr>
          <w:b/>
          <w:sz w:val="24"/>
          <w:szCs w:val="24"/>
        </w:rPr>
        <w:t>Application form IAMCR C&amp;TF projects</w:t>
      </w:r>
    </w:p>
    <w:p>
      <w:pPr>
        <w:pStyle w:val="Normal"/>
        <w:spacing w:lineRule="auto" w:line="240"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To be sent to the IAMCR Treasurer, Elske van de Fliert &lt;e.vandefliert@uq.edu.au&gt;</w:t>
      </w:r>
    </w:p>
    <w:p>
      <w:pPr>
        <w:pStyle w:val="Normal"/>
        <w:spacing w:lineRule="auto" w:line="240" w:before="0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Part 1: Applicants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</w:r>
    </w:p>
    <w:tbl>
      <w:tblPr>
        <w:tblW w:w="9262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62"/>
      </w:tblGrid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of the IAMCR Committee or Task Force</w:t>
            </w:r>
          </w:p>
        </w:tc>
      </w:tr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62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62"/>
      </w:tblGrid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Name(s) of the IAMCR Committee or Task Force’s representative (main applicant)</w:t>
            </w:r>
          </w:p>
        </w:tc>
      </w:tr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52" w:type="dxa"/>
        <w:jc w:val="left"/>
        <w:tblInd w:w="-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52"/>
      </w:tblGrid>
      <w:tr>
        <w:trPr/>
        <w:tc>
          <w:tcPr>
            <w:tcW w:w="9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Contact information of the IAMCR Committee or Task Force’s representative (main applicant)</w:t>
            </w:r>
          </w:p>
        </w:tc>
      </w:tr>
      <w:tr>
        <w:trPr/>
        <w:tc>
          <w:tcPr>
            <w:tcW w:w="9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tbl>
      <w:tblPr>
        <w:tblW w:w="9252" w:type="dxa"/>
        <w:jc w:val="left"/>
        <w:tblInd w:w="-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52"/>
      </w:tblGrid>
      <w:tr>
        <w:trPr/>
        <w:tc>
          <w:tcPr>
            <w:tcW w:w="9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Name(s) of the co-applicant(s)</w:t>
            </w:r>
          </w:p>
        </w:tc>
      </w:tr>
      <w:tr>
        <w:trPr/>
        <w:tc>
          <w:tcPr>
            <w:tcW w:w="9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tbl>
      <w:tblPr>
        <w:tblW w:w="9252" w:type="dxa"/>
        <w:jc w:val="left"/>
        <w:tblInd w:w="-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52"/>
      </w:tblGrid>
      <w:tr>
        <w:trPr/>
        <w:tc>
          <w:tcPr>
            <w:tcW w:w="9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Name(s) of the representative(s) of co-applicant(s)</w:t>
            </w:r>
          </w:p>
        </w:tc>
      </w:tr>
      <w:tr>
        <w:trPr/>
        <w:tc>
          <w:tcPr>
            <w:tcW w:w="9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tbl>
      <w:tblPr>
        <w:tblW w:w="9252" w:type="dxa"/>
        <w:jc w:val="left"/>
        <w:tblInd w:w="-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52"/>
      </w:tblGrid>
      <w:tr>
        <w:trPr/>
        <w:tc>
          <w:tcPr>
            <w:tcW w:w="9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Contact information of the representative(s) of co-applicant(s)</w:t>
            </w:r>
          </w:p>
        </w:tc>
      </w:tr>
      <w:tr>
        <w:trPr/>
        <w:tc>
          <w:tcPr>
            <w:tcW w:w="9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2: Project description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tbl>
      <w:tblPr>
        <w:tblW w:w="9272" w:type="dxa"/>
        <w:jc w:val="left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72"/>
      </w:tblGrid>
      <w:tr>
        <w:trPr/>
        <w:tc>
          <w:tcPr>
            <w:tcW w:w="9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Project title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tbl>
      <w:tblPr>
        <w:tblW w:w="9262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62"/>
      </w:tblGrid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brief description of the activities to be undertaken</w:t>
            </w:r>
          </w:p>
        </w:tc>
      </w:tr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62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62"/>
      </w:tblGrid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project objectives</w:t>
            </w:r>
          </w:p>
        </w:tc>
      </w:tr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62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62"/>
      </w:tblGrid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target group(s)</w:t>
            </w:r>
          </w:p>
        </w:tc>
      </w:tr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62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62"/>
      </w:tblGrid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outcomes (including project deliverables)</w:t>
            </w:r>
          </w:p>
        </w:tc>
      </w:tr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72" w:type="dxa"/>
        <w:jc w:val="left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72"/>
      </w:tblGrid>
      <w:tr>
        <w:trPr/>
        <w:tc>
          <w:tcPr>
            <w:tcW w:w="9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Start and end date</w:t>
            </w:r>
          </w:p>
        </w:tc>
      </w:tr>
      <w:tr>
        <w:trPr/>
        <w:tc>
          <w:tcPr>
            <w:tcW w:w="9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62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62"/>
      </w:tblGrid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Workplan and time schedule</w:t>
            </w:r>
          </w:p>
        </w:tc>
      </w:tr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9272" w:type="dxa"/>
        <w:jc w:val="left"/>
        <w:tblInd w:w="-1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36"/>
        <w:gridCol w:w="2687"/>
        <w:gridCol w:w="1949"/>
      </w:tblGrid>
      <w:tr>
        <w:trPr/>
        <w:tc>
          <w:tcPr>
            <w:tcW w:w="92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Budget</w:t>
            </w:r>
          </w:p>
        </w:tc>
      </w:tr>
      <w:tr>
        <w:trPr>
          <w:trHeight w:val="292" w:hRule="atLeast"/>
        </w:trPr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i/>
                <w:iCs/>
                <w:sz w:val="24"/>
                <w:szCs w:val="24"/>
              </w:rPr>
              <w:t>Budget item</w:t>
            </w:r>
          </w:p>
        </w:tc>
        <w:tc>
          <w:tcPr>
            <w:tcW w:w="4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i/>
                <w:iCs/>
                <w:sz w:val="24"/>
                <w:szCs w:val="24"/>
              </w:rPr>
              <w:t>Amount (in local currency)</w:t>
            </w:r>
          </w:p>
        </w:tc>
      </w:tr>
      <w:tr>
        <w:trPr>
          <w:trHeight w:val="292" w:hRule="atLeast"/>
        </w:trPr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napToGrid w:val="false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2" w:hRule="atLeast"/>
        </w:trPr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napToGrid w:val="false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2" w:hRule="atLeast"/>
        </w:trPr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napToGrid w:val="false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2" w:hRule="atLeast"/>
        </w:trPr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napToGrid w:val="false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2" w:hRule="atLeast"/>
        </w:trPr>
        <w:tc>
          <w:tcPr>
            <w:tcW w:w="4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USD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262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62"/>
      </w:tblGrid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How will the project contribute to the fund's primary objective: </w:t>
            </w:r>
            <w:r>
              <w:rPr>
                <w:b/>
                <w:sz w:val="24"/>
                <w:szCs w:val="24"/>
                <w:lang w:val="en-US"/>
              </w:rPr>
              <w:t>Support the activities of the C&amp;TF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9262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62"/>
      </w:tblGrid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Will the project contribute to secondary objective 1: </w:t>
            </w:r>
            <w:r>
              <w:rPr>
                <w:b/>
                <w:sz w:val="24"/>
                <w:szCs w:val="24"/>
                <w:lang w:val="en-US"/>
              </w:rPr>
              <w:t>Increase the participation of IAMCR members in the C&amp;TF</w:t>
            </w:r>
            <w:r>
              <w:rPr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If so, how?</w:t>
            </w:r>
          </w:p>
        </w:tc>
      </w:tr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262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62"/>
      </w:tblGrid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Will the project contribute to secondary objective 2: </w:t>
            </w:r>
            <w:r>
              <w:rPr>
                <w:b/>
                <w:sz w:val="24"/>
                <w:szCs w:val="24"/>
                <w:lang w:val="en-US"/>
              </w:rPr>
              <w:t>Allow the C&amp;TF to expand its activities</w:t>
            </w:r>
            <w:r>
              <w:rPr>
                <w:sz w:val="24"/>
                <w:szCs w:val="24"/>
              </w:rPr>
              <w:t>? If so, how?</w:t>
            </w:r>
          </w:p>
        </w:tc>
      </w:tr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9262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62"/>
      </w:tblGrid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Applicants are expected to obtain support for the activity from C&amp;TF members, to discuss it with members (at meetings or online) and to provide reports on progress. How did you/will you do this?</w:t>
            </w:r>
          </w:p>
        </w:tc>
      </w:tr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W w:w="9262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62"/>
      </w:tblGrid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Applicants are required to present the project at the first IAMCR conference that takes place after confirmation of project approval has been received. How will you do this?</w:t>
            </w:r>
          </w:p>
        </w:tc>
      </w:tr>
      <w:tr>
        <w:trPr/>
        <w:tc>
          <w:tcPr>
            <w:tcW w:w="9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6"/>
      <w:type w:val="nextPage"/>
      <w:pgSz w:w="11906" w:h="16838"/>
      <w:pgMar w:left="1417" w:right="1417" w:header="0" w:top="1417" w:footer="1417" w:bottom="194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>
        <w:sz w:val="20"/>
        <w:szCs w:val="20"/>
      </w:rPr>
      <w:t>Application form IAMCR C&amp;TF projects – Version 10/</w:t>
    </w:r>
    <w:r>
      <w:rPr>
        <w:rFonts w:eastAsia="Calibri" w:cs="font404"/>
        <w:color w:val="00000A"/>
        <w:kern w:val="2"/>
        <w:sz w:val="20"/>
        <w:szCs w:val="20"/>
        <w:lang w:val="nl-BE" w:eastAsia="zh-CN" w:bidi="ar-SA"/>
      </w:rPr>
      <w:t>10</w:t>
    </w:r>
    <w:r>
      <w:rPr>
        <w:sz w:val="20"/>
        <w:szCs w:val="20"/>
      </w:rPr>
      <w:t>/</w:t>
    </w:r>
    <w:r>
      <w:rPr>
        <w:rFonts w:eastAsia="Calibri" w:cs="font404"/>
        <w:color w:val="00000A"/>
        <w:kern w:val="2"/>
        <w:sz w:val="20"/>
        <w:szCs w:val="20"/>
        <w:lang w:val="nl-BE" w:eastAsia="zh-CN" w:bidi="ar-SA"/>
      </w:rPr>
      <w:t>23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ont404"/>
      <w:color w:val="00000A"/>
      <w:kern w:val="2"/>
      <w:sz w:val="22"/>
      <w:szCs w:val="22"/>
      <w:lang w:val="nl-BE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  <w:sz w:val="24"/>
      <w:szCs w:val="24"/>
      <w:lang w:val="en-U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sz w:val="24"/>
      <w:szCs w:val="24"/>
      <w:lang w:val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ommentTextChar">
    <w:name w:val="Comment Text Char"/>
    <w:qFormat/>
    <w:rPr>
      <w:sz w:val="20"/>
      <w:szCs w:val="20"/>
    </w:rPr>
  </w:style>
  <w:style w:type="character" w:styleId="CommentSubjectChar">
    <w:name w:val="Comment Subject Char"/>
    <w:qFormat/>
    <w:rPr>
      <w:b/>
      <w:bCs/>
      <w:sz w:val="20"/>
      <w:szCs w:val="20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CommentTextChar1">
    <w:name w:val="Comment Text Char1"/>
    <w:qFormat/>
    <w:rPr>
      <w:rFonts w:ascii="Calibri" w:hAnsi="Calibri" w:eastAsia="Calibri" w:cs="font404"/>
      <w:color w:val="00000A"/>
      <w:lang w:val="nl-BE" w:eastAsia="zh-CN"/>
    </w:rPr>
  </w:style>
  <w:style w:type="character" w:styleId="CommentSubjectChar1">
    <w:name w:val="Comment Subject Char1"/>
    <w:qFormat/>
    <w:rPr>
      <w:rFonts w:ascii="Calibri" w:hAnsi="Calibri" w:eastAsia="Calibri" w:cs="font404"/>
      <w:b/>
      <w:bCs/>
      <w:color w:val="00000A"/>
      <w:lang w:val="nl-BE" w:eastAsia="zh-CN"/>
    </w:rPr>
  </w:style>
  <w:style w:type="character" w:styleId="HeaderChar">
    <w:name w:val="Header Char"/>
    <w:qFormat/>
    <w:rPr>
      <w:rFonts w:ascii="Calibri" w:hAnsi="Calibri" w:eastAsia="Calibri" w:cs="font404"/>
      <w:color w:val="00000A"/>
      <w:sz w:val="22"/>
      <w:szCs w:val="22"/>
      <w:lang w:val="nl-BE" w:eastAsia="zh-CN"/>
    </w:rPr>
  </w:style>
  <w:style w:type="character" w:styleId="ListLabel1">
    <w:name w:val="ListLabel 1"/>
    <w:qFormat/>
    <w:rPr>
      <w:rFonts w:cs="Symbol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  <w:lang w:val="en-US"/>
    </w:rPr>
  </w:style>
  <w:style w:type="character" w:styleId="ListLabel30">
    <w:name w:val="ListLabel 30"/>
    <w:qFormat/>
    <w:rPr>
      <w:rFonts w:cs="Symbol"/>
      <w:b/>
      <w:sz w:val="24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  <w:sz w:val="24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  <w:sz w:val="24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sz w:val="24"/>
      <w:szCs w:val="24"/>
    </w:rPr>
  </w:style>
  <w:style w:type="character" w:styleId="ListLabel58">
    <w:name w:val="ListLabel 58"/>
    <w:qFormat/>
    <w:rPr>
      <w:sz w:val="24"/>
      <w:szCs w:val="24"/>
      <w:lang w:val="en-US"/>
    </w:rPr>
  </w:style>
  <w:style w:type="character" w:styleId="ListLabel59">
    <w:name w:val="ListLabel 59"/>
    <w:qFormat/>
    <w:rPr>
      <w:rFonts w:cs="Symbol"/>
      <w:b/>
      <w:sz w:val="24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  <w:sz w:val="24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  <w:sz w:val="24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sz w:val="24"/>
      <w:szCs w:val="24"/>
    </w:rPr>
  </w:style>
  <w:style w:type="character" w:styleId="ListLabel87">
    <w:name w:val="ListLabel 87"/>
    <w:qFormat/>
    <w:rPr>
      <w:sz w:val="24"/>
      <w:szCs w:val="24"/>
      <w:lang w:val="en-US"/>
    </w:rPr>
  </w:style>
  <w:style w:type="character" w:styleId="ListLabel88">
    <w:name w:val="ListLabel 88"/>
    <w:qFormat/>
    <w:rPr>
      <w:rFonts w:cs="Symbol"/>
      <w:b/>
      <w:sz w:val="24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  <w:sz w:val="24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  <w:sz w:val="24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sz w:val="24"/>
      <w:szCs w:val="24"/>
    </w:rPr>
  </w:style>
  <w:style w:type="character" w:styleId="ListLabel116">
    <w:name w:val="ListLabel 116"/>
    <w:qFormat/>
    <w:rPr>
      <w:sz w:val="24"/>
      <w:szCs w:val="24"/>
      <w:lang w:val="en-US"/>
    </w:rPr>
  </w:style>
  <w:style w:type="character" w:styleId="ListLabel117">
    <w:name w:val="ListLabel 117"/>
    <w:qFormat/>
    <w:rPr>
      <w:rFonts w:cs="Symbol"/>
      <w:b/>
      <w:sz w:val="24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  <w:sz w:val="24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  <w:sz w:val="24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sz w:val="24"/>
      <w:szCs w:val="24"/>
    </w:rPr>
  </w:style>
  <w:style w:type="character" w:styleId="ListLabel145">
    <w:name w:val="ListLabel 145"/>
    <w:qFormat/>
    <w:rPr>
      <w:sz w:val="24"/>
      <w:szCs w:val="24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lear" w:pos="708"/>
        <w:tab w:val="center" w:pos="4513" w:leader="none"/>
        <w:tab w:val="right" w:pos="9026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iamcr.org/objectives" TargetMode="External"/><Relationship Id="rId4" Type="http://schemas.openxmlformats.org/officeDocument/2006/relationships/hyperlink" Target="https://iamcr.org/governance/committees" TargetMode="External"/><Relationship Id="rId5" Type="http://schemas.openxmlformats.org/officeDocument/2006/relationships/image" Target="media/image2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Application>LibreOffice/6.1.4.2$Windows_X86_64 LibreOffice_project/9d0f32d1f0b509096fd65e0d4bec26ddd1938fd3</Application>
  <Pages>6</Pages>
  <Words>924</Words>
  <Characters>5012</Characters>
  <CharactersWithSpaces>5860</CharactersWithSpaces>
  <Paragraphs>62</Paragraphs>
  <Company>University of Queensland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2017-04-19T09:37:00Z</dcterms:created>
  <dc:creator>ncarpent</dc:creator>
  <dc:description/>
  <dc:language>en-GB</dc:language>
  <cp:lastModifiedBy>Valeria Zamisch</cp:lastModifiedBy>
  <cp:lastPrinted>2015-01-23T00:28:00Z</cp:lastPrinted>
  <dcterms:modified xsi:type="dcterms:W3CDTF">2023-11-30T16:23:36Z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Queensland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