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center"/>
        <w:rPr>
          <w:b/>
          <w:b/>
          <w:sz w:val="24"/>
          <w:szCs w:val="24"/>
        </w:rPr>
      </w:pPr>
      <w:r>
        <w:rPr>
          <w:b/>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58815" cy="9696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 t="-44" r="-7" b="-44"/>
                    <a:stretch>
                      <a:fillRect/>
                    </a:stretch>
                  </pic:blipFill>
                  <pic:spPr bwMode="auto">
                    <a:xfrm>
                      <a:off x="0" y="0"/>
                      <a:ext cx="5758815" cy="969645"/>
                    </a:xfrm>
                    <a:prstGeom prst="rect">
                      <a:avLst/>
                    </a:prstGeom>
                  </pic:spPr>
                </pic:pic>
              </a:graphicData>
            </a:graphic>
          </wp:anchor>
        </w:drawing>
      </w:r>
    </w:p>
    <w:p>
      <w:pPr>
        <w:pStyle w:val="Normal"/>
        <w:spacing w:lineRule="auto" w:line="240" w:before="0" w:after="0"/>
        <w:jc w:val="center"/>
        <w:rPr>
          <w:b/>
          <w:b/>
          <w:sz w:val="24"/>
          <w:szCs w:val="24"/>
        </w:rPr>
      </w:pPr>
      <w:r>
        <w:rPr>
          <w:b/>
          <w:sz w:val="24"/>
          <w:szCs w:val="24"/>
        </w:rPr>
        <w:t>Section &amp; Working Group Project Fund</w:t>
      </w:r>
    </w:p>
    <w:p>
      <w:pPr>
        <w:pStyle w:val="Normal"/>
        <w:spacing w:lineRule="auto" w:line="240" w:before="0" w:after="0"/>
        <w:rPr/>
      </w:pPr>
      <w:r>
        <w:rPr/>
      </w:r>
    </w:p>
    <w:p>
      <w:pPr>
        <w:pStyle w:val="Normal"/>
        <w:spacing w:lineRule="auto" w:line="240" w:before="0" w:after="0"/>
        <w:rPr>
          <w:sz w:val="24"/>
          <w:szCs w:val="24"/>
        </w:rPr>
      </w:pPr>
      <w:r>
        <w:rPr>
          <w:sz w:val="24"/>
          <w:szCs w:val="24"/>
        </w:rPr>
        <w:t>IAMCR’s Executive Board (EB) invites IAMCR Sections and Working Groups (S&amp;WG) to submit funding proposals for activities that support and advance the S&amp;WG’s agendas. A proposed activity should contribute to the following overall objectives:</w:t>
      </w:r>
    </w:p>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ListParagraph"/>
              <w:widowControl w:val="false"/>
              <w:numPr>
                <w:ilvl w:val="0"/>
                <w:numId w:val="1"/>
              </w:numPr>
              <w:spacing w:lineRule="auto" w:line="240" w:before="0" w:after="0"/>
              <w:ind w:left="587" w:right="0" w:hanging="425"/>
              <w:contextualSpacing/>
              <w:rPr>
                <w:b/>
                <w:b/>
                <w:sz w:val="24"/>
                <w:szCs w:val="24"/>
              </w:rPr>
            </w:pPr>
            <w:r>
              <w:rPr>
                <w:b/>
                <w:sz w:val="24"/>
                <w:szCs w:val="24"/>
              </w:rPr>
              <w:t>Primary objective: Strengthen and encourage S&amp;WG’s activities outside the main IAMCR international conferences</w:t>
            </w:r>
          </w:p>
          <w:p>
            <w:pPr>
              <w:pStyle w:val="ListParagraph"/>
              <w:widowControl w:val="false"/>
              <w:numPr>
                <w:ilvl w:val="0"/>
                <w:numId w:val="1"/>
              </w:numPr>
              <w:spacing w:lineRule="auto" w:line="240" w:before="0" w:after="0"/>
              <w:ind w:left="587" w:right="0" w:hanging="425"/>
              <w:contextualSpacing/>
              <w:rPr>
                <w:sz w:val="24"/>
                <w:szCs w:val="24"/>
              </w:rPr>
            </w:pPr>
            <w:r>
              <w:rPr>
                <w:sz w:val="24"/>
                <w:szCs w:val="24"/>
              </w:rPr>
              <w:t>Secondary objective 1: Increase the participation of IAMCR members in the S&amp;WG.</w:t>
            </w:r>
          </w:p>
          <w:p>
            <w:pPr>
              <w:pStyle w:val="ListParagraph"/>
              <w:widowControl w:val="false"/>
              <w:numPr>
                <w:ilvl w:val="0"/>
                <w:numId w:val="1"/>
              </w:numPr>
              <w:spacing w:lineRule="auto" w:line="240" w:before="0" w:after="0"/>
              <w:ind w:left="587" w:right="0" w:hanging="425"/>
              <w:contextualSpacing/>
              <w:rPr>
                <w:sz w:val="24"/>
                <w:szCs w:val="24"/>
              </w:rPr>
            </w:pPr>
            <w:r>
              <w:rPr>
                <w:sz w:val="24"/>
                <w:szCs w:val="24"/>
              </w:rPr>
              <w:t>Secondary objective 2: Enhance interaction and collaboration between IAMCR’s S&amp;WGs beyond the main conference.</w:t>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t>Examples include: S&amp;WG publications (books, journals, and/or special issues of journals), S&amp;WG organised events (workshops, small conferences, etc.), S&amp;WG advocacy and outreach.</w:t>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pPr>
            <w:r>
              <w:rPr>
                <w:sz w:val="24"/>
                <w:szCs w:val="24"/>
              </w:rPr>
              <w:t>Examples of activities not eligible for funding include: support of activities primarily organised by others, travel by applicants to events, organisation of events within or in parallel with the main IAMCR conference.</w:t>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t>A proposed activity should comply with the following conditions:</w:t>
            </w:r>
          </w:p>
          <w:p>
            <w:pPr>
              <w:pStyle w:val="Normal"/>
              <w:widowControl w:val="false"/>
              <w:spacing w:lineRule="auto" w:line="240" w:before="0" w:after="0"/>
              <w:rPr>
                <w:sz w:val="24"/>
                <w:szCs w:val="24"/>
              </w:rPr>
            </w:pPr>
            <w:r>
              <w:rPr>
                <w:sz w:val="24"/>
                <w:szCs w:val="24"/>
              </w:rPr>
            </w:r>
          </w:p>
          <w:p>
            <w:pPr>
              <w:pStyle w:val="ListParagraph"/>
              <w:widowControl w:val="false"/>
              <w:numPr>
                <w:ilvl w:val="0"/>
                <w:numId w:val="2"/>
              </w:numPr>
              <w:bidi w:val="0"/>
              <w:spacing w:lineRule="auto" w:line="240" w:before="0" w:after="0"/>
              <w:ind w:left="720" w:right="0" w:hanging="360"/>
              <w:contextualSpacing/>
              <w:jc w:val="left"/>
              <w:rPr/>
            </w:pPr>
            <w:r>
              <w:rPr>
                <w:sz w:val="24"/>
                <w:szCs w:val="24"/>
              </w:rPr>
              <w:t>It must be aimed at fulfilling the primary objective of the fund and at least one of the secondary objectives. This implies that projects that take place only during the main IAMCR international conference cannot be approved. Pre- and post-conferences will be considered, as will projects involving the publication of proceedings of specific sessions held during the main IAMCR conference. Travel to external events by one or more of the applicants is not eligible for funding.</w:t>
            </w:r>
          </w:p>
          <w:p>
            <w:pPr>
              <w:pStyle w:val="ListParagraph"/>
              <w:widowControl w:val="false"/>
              <w:numPr>
                <w:ilvl w:val="0"/>
                <w:numId w:val="2"/>
              </w:numPr>
              <w:spacing w:lineRule="auto" w:line="240" w:before="0" w:after="0"/>
              <w:ind w:left="720" w:right="0" w:hanging="360"/>
              <w:contextualSpacing/>
              <w:rPr/>
            </w:pPr>
            <w:r>
              <w:rPr>
                <w:sz w:val="24"/>
                <w:szCs w:val="24"/>
              </w:rPr>
              <w:t>It must be in alignment with the IAMCR remit, as described on the IAMCR website (</w:t>
            </w:r>
            <w:hyperlink r:id="rId3">
              <w:r>
                <w:rPr>
                  <w:rStyle w:val="InternetLink"/>
                  <w:sz w:val="24"/>
                  <w:szCs w:val="24"/>
                </w:rPr>
                <w:t>http://iamcr.org/objectives</w:t>
              </w:r>
            </w:hyperlink>
            <w:r>
              <w:rPr>
                <w:sz w:val="24"/>
                <w:szCs w:val="24"/>
              </w:rPr>
              <w:t>).</w:t>
            </w:r>
          </w:p>
          <w:p>
            <w:pPr>
              <w:pStyle w:val="ListParagraph"/>
              <w:widowControl w:val="false"/>
              <w:numPr>
                <w:ilvl w:val="0"/>
                <w:numId w:val="2"/>
              </w:numPr>
              <w:spacing w:lineRule="auto" w:line="240" w:before="0" w:after="0"/>
              <w:ind w:left="720" w:right="0" w:hanging="360"/>
              <w:contextualSpacing/>
              <w:rPr>
                <w:sz w:val="24"/>
                <w:szCs w:val="24"/>
              </w:rPr>
            </w:pPr>
            <w:r>
              <w:rPr>
                <w:sz w:val="24"/>
                <w:szCs w:val="24"/>
              </w:rPr>
              <w:t>It must have been presented to the members of the section or working group (at a meeting or online).</w:t>
            </w:r>
          </w:p>
          <w:p>
            <w:pPr>
              <w:pStyle w:val="ListParagraph"/>
              <w:widowControl w:val="false"/>
              <w:numPr>
                <w:ilvl w:val="0"/>
                <w:numId w:val="2"/>
              </w:numPr>
              <w:spacing w:lineRule="auto" w:line="240" w:before="0" w:after="0"/>
              <w:ind w:left="720" w:right="0" w:hanging="360"/>
              <w:contextualSpacing/>
              <w:rPr>
                <w:sz w:val="24"/>
                <w:szCs w:val="24"/>
              </w:rPr>
            </w:pPr>
            <w:r>
              <w:rPr>
                <w:sz w:val="24"/>
                <w:szCs w:val="24"/>
              </w:rPr>
              <w:t>The main applicant is the Head of an IAMCR Section or Working Group. Applications can be submitted by an individual Section or Working Group, but co-applicants are encouraged. If members of other S&amp;WGs are co-applicants, their agreement must be provided by the Head of that S&amp;WG.</w:t>
            </w:r>
          </w:p>
          <w:p>
            <w:pPr>
              <w:pStyle w:val="ListParagraph"/>
              <w:widowControl w:val="false"/>
              <w:numPr>
                <w:ilvl w:val="0"/>
                <w:numId w:val="2"/>
              </w:numPr>
              <w:spacing w:lineRule="auto" w:line="240" w:before="0" w:after="0"/>
              <w:ind w:left="720" w:right="0" w:hanging="360"/>
              <w:contextualSpacing/>
              <w:rPr>
                <w:sz w:val="24"/>
                <w:szCs w:val="24"/>
              </w:rPr>
            </w:pPr>
            <w:r>
              <w:rPr>
                <w:sz w:val="24"/>
                <w:szCs w:val="24"/>
              </w:rPr>
              <w:t>Proposals must include a clear description of: 1) the applicant(s), 2) the project objectives, 3) the target group(s), 4) the expected outcomes, including tangible deliverables of the project, 5) a work plan and detailed schedule, and 6) a detailed budget.</w:t>
            </w:r>
          </w:p>
          <w:p>
            <w:pPr>
              <w:pStyle w:val="ListParagraph"/>
              <w:widowControl w:val="false"/>
              <w:numPr>
                <w:ilvl w:val="0"/>
                <w:numId w:val="2"/>
              </w:numPr>
              <w:spacing w:lineRule="auto" w:line="240" w:before="0" w:after="0"/>
              <w:ind w:left="720" w:right="0" w:hanging="360"/>
              <w:contextualSpacing/>
              <w:rPr>
                <w:sz w:val="24"/>
                <w:szCs w:val="24"/>
              </w:rPr>
            </w:pPr>
            <w:r>
              <w:rPr>
                <w:sz w:val="24"/>
                <w:szCs w:val="24"/>
              </w:rPr>
              <w:t>The maximum duration of a project is two years.</w:t>
            </w:r>
          </w:p>
          <w:p>
            <w:pPr>
              <w:pStyle w:val="ListParagraph"/>
              <w:widowControl w:val="false"/>
              <w:numPr>
                <w:ilvl w:val="0"/>
                <w:numId w:val="2"/>
              </w:numPr>
              <w:spacing w:lineRule="auto" w:line="240" w:before="0" w:after="0"/>
              <w:ind w:left="720" w:right="0" w:hanging="360"/>
              <w:contextualSpacing/>
              <w:rPr>
                <w:sz w:val="24"/>
                <w:szCs w:val="24"/>
              </w:rPr>
            </w:pPr>
            <w:r>
              <w:rPr>
                <w:sz w:val="24"/>
                <w:szCs w:val="24"/>
              </w:rPr>
              <w:t>Activities that are ongoing (e.g. journals) must be self-sustainable after the initial funding – no additional financial resources will be provided by IAMCR.</w:t>
            </w:r>
          </w:p>
          <w:p>
            <w:pPr>
              <w:pStyle w:val="ListParagraph"/>
              <w:widowControl w:val="false"/>
              <w:numPr>
                <w:ilvl w:val="0"/>
                <w:numId w:val="2"/>
              </w:numPr>
              <w:spacing w:lineRule="auto" w:line="240" w:before="0" w:after="0"/>
              <w:ind w:left="720" w:right="0" w:hanging="360"/>
              <w:contextualSpacing/>
              <w:rPr>
                <w:sz w:val="24"/>
                <w:szCs w:val="24"/>
              </w:rPr>
            </w:pPr>
            <w:r>
              <w:rPr>
                <w:sz w:val="24"/>
                <w:szCs w:val="24"/>
              </w:rPr>
              <w:t>The main applicant, together with co-applicants, is responsible to IAMCR’s EB for the implementation of the project. Activities can be delegated to others, but the main applicant remains ultimately responsible.</w:t>
            </w:r>
          </w:p>
          <w:p>
            <w:pPr>
              <w:pStyle w:val="ListParagraph"/>
              <w:widowControl w:val="false"/>
              <w:numPr>
                <w:ilvl w:val="0"/>
                <w:numId w:val="2"/>
              </w:numPr>
              <w:spacing w:lineRule="auto" w:line="240" w:before="0" w:after="0"/>
              <w:ind w:left="720" w:right="0" w:hanging="360"/>
              <w:contextualSpacing/>
              <w:rPr/>
            </w:pPr>
            <w:r>
              <w:rPr>
                <w:sz w:val="24"/>
                <w:szCs w:val="24"/>
              </w:rPr>
              <w:t xml:space="preserve">The requested project subsidy from IAMCR cannot exceed USD 2,000. If the total cost of the project exceeds USD 2,000, the proposal’s budget should state clearly what additional sources of funding are available to cover all costs and make the activity viable. </w:t>
            </w:r>
          </w:p>
          <w:p>
            <w:pPr>
              <w:pStyle w:val="ListParagraph"/>
              <w:widowControl w:val="false"/>
              <w:numPr>
                <w:ilvl w:val="0"/>
                <w:numId w:val="2"/>
              </w:numPr>
              <w:bidi w:val="0"/>
              <w:spacing w:lineRule="auto" w:line="240" w:before="0" w:after="0"/>
              <w:ind w:left="720" w:right="0" w:hanging="360"/>
              <w:contextualSpacing/>
              <w:jc w:val="left"/>
              <w:rPr/>
            </w:pPr>
            <w:r>
              <w:rPr>
                <w:sz w:val="24"/>
                <w:szCs w:val="24"/>
              </w:rPr>
              <w:t>A Section or Working Group can only get funding for one activity per calendar year approved (as main applicant). An application from a Section or Working Group that has received funds in 2 consecutive years will be given lower priority than one received by a Section or Working Groups that has not.</w:t>
            </w:r>
          </w:p>
          <w:p>
            <w:pPr>
              <w:pStyle w:val="Normal"/>
              <w:widowControl w:val="false"/>
              <w:spacing w:lineRule="auto" w:line="240" w:before="0" w:after="0"/>
              <w:rPr>
                <w:sz w:val="24"/>
                <w:szCs w:val="24"/>
              </w:rPr>
            </w:pPr>
            <w:r>
              <w:rPr>
                <w:sz w:val="24"/>
                <w:szCs w:val="24"/>
              </w:rPr>
            </w:r>
          </w:p>
          <w:p>
            <w:pPr>
              <w:pStyle w:val="ListParagraph"/>
              <w:widowControl w:val="false"/>
              <w:spacing w:lineRule="auto" w:line="240" w:before="0" w:after="0"/>
              <w:ind w:left="720" w:right="0" w:hanging="0"/>
              <w:contextualSpacing/>
              <w:rPr/>
            </w:pPr>
            <w:r>
              <w:rPr>
                <w:sz w:val="24"/>
                <w:szCs w:val="24"/>
              </w:rPr>
              <w:t xml:space="preserve">Applications are evaluated by a committee, which makes recommendations to the Executive Board. Elske van der Fliert, IAMCR treasurer, chairs the committee. </w:t>
            </w:r>
            <w:hyperlink r:id="rId4">
              <w:r>
                <w:rPr>
                  <w:rStyle w:val="InternetLink"/>
                  <w:sz w:val="24"/>
                  <w:szCs w:val="24"/>
                  <w:lang w:val="en-US"/>
                </w:rPr>
                <w:t>See the list of the members of all IAMCR’s committees and task forces</w:t>
              </w:r>
            </w:hyperlink>
            <w:r>
              <w:rPr>
                <w:sz w:val="24"/>
                <w:szCs w:val="24"/>
              </w:rPr>
              <w:t>.</w:t>
            </w:r>
          </w:p>
          <w:p>
            <w:pPr>
              <w:pStyle w:val="ListParagraph"/>
              <w:widowControl w:val="false"/>
              <w:spacing w:lineRule="auto" w:line="240" w:before="0" w:after="0"/>
              <w:ind w:left="720" w:right="0" w:hanging="0"/>
              <w:contextualSpacing/>
              <w:rPr>
                <w:sz w:val="24"/>
                <w:szCs w:val="24"/>
              </w:rPr>
            </w:pPr>
            <w:r>
              <w:rPr>
                <w:sz w:val="24"/>
                <w:szCs w:val="24"/>
              </w:rPr>
            </w:r>
          </w:p>
          <w:p>
            <w:pPr>
              <w:pStyle w:val="Normal"/>
              <w:widowControl w:val="false"/>
              <w:spacing w:lineRule="auto" w:line="240" w:before="0" w:after="0"/>
              <w:rPr>
                <w:sz w:val="24"/>
                <w:szCs w:val="24"/>
              </w:rPr>
            </w:pPr>
            <w:r>
              <w:rPr>
                <w:sz w:val="24"/>
                <w:szCs w:val="24"/>
              </w:rPr>
              <w:t>Applicants whose proposal has been approved must agree to:</w:t>
            </w:r>
          </w:p>
          <w:p>
            <w:pPr>
              <w:pStyle w:val="Normal"/>
              <w:widowControl w:val="false"/>
              <w:spacing w:lineRule="auto" w:line="240" w:before="0" w:after="0"/>
              <w:rPr>
                <w:sz w:val="24"/>
                <w:szCs w:val="24"/>
              </w:rPr>
            </w:pPr>
            <w:r>
              <w:rPr>
                <w:sz w:val="24"/>
                <w:szCs w:val="24"/>
              </w:rPr>
            </w:r>
          </w:p>
          <w:p>
            <w:pPr>
              <w:pStyle w:val="ListParagraph"/>
              <w:widowControl w:val="false"/>
              <w:numPr>
                <w:ilvl w:val="0"/>
                <w:numId w:val="3"/>
              </w:numPr>
              <w:spacing w:lineRule="auto" w:line="240" w:before="0" w:after="0"/>
              <w:ind w:left="720" w:right="0" w:hanging="360"/>
              <w:contextualSpacing/>
              <w:rPr>
                <w:sz w:val="24"/>
                <w:szCs w:val="24"/>
              </w:rPr>
            </w:pPr>
            <w:r>
              <w:rPr>
                <w:sz w:val="24"/>
                <w:szCs w:val="24"/>
              </w:rPr>
              <w:t>Present the project at the first IAMCR conference that takes place after confirmation of project approval has been received.</w:t>
            </w:r>
          </w:p>
          <w:p>
            <w:pPr>
              <w:pStyle w:val="ListParagraph"/>
              <w:widowControl w:val="false"/>
              <w:numPr>
                <w:ilvl w:val="0"/>
                <w:numId w:val="3"/>
              </w:numPr>
              <w:spacing w:lineRule="auto" w:line="240" w:before="0" w:after="0"/>
              <w:ind w:left="720" w:right="0" w:hanging="360"/>
              <w:contextualSpacing/>
              <w:rPr>
                <w:sz w:val="24"/>
                <w:szCs w:val="24"/>
              </w:rPr>
            </w:pPr>
            <w:r>
              <w:rPr>
                <w:sz w:val="24"/>
                <w:szCs w:val="24"/>
              </w:rPr>
              <w:t>Sign an agreement with the IAMCR Executive Board using IAMCR’s template.</w:t>
            </w:r>
          </w:p>
          <w:p>
            <w:pPr>
              <w:pStyle w:val="ListParagraph"/>
              <w:widowControl w:val="false"/>
              <w:numPr>
                <w:ilvl w:val="0"/>
                <w:numId w:val="3"/>
              </w:numPr>
              <w:spacing w:lineRule="auto" w:line="240" w:before="0" w:after="0"/>
              <w:ind w:left="720" w:right="0" w:hanging="360"/>
              <w:contextualSpacing/>
              <w:rPr/>
            </w:pPr>
            <w:r>
              <w:rPr>
                <w:sz w:val="24"/>
                <w:szCs w:val="24"/>
              </w:rPr>
              <w:t xml:space="preserve">Provide the IAMCR Treasurer with an account to which the project funds can be transferred. (IAMCR accounts </w:t>
            </w:r>
            <w:r>
              <w:rPr>
                <w:sz w:val="24"/>
                <w:szCs w:val="24"/>
                <w:u w:val="single"/>
              </w:rPr>
              <w:t>cannot</w:t>
            </w:r>
            <w:r>
              <w:rPr>
                <w:sz w:val="24"/>
                <w:szCs w:val="24"/>
              </w:rPr>
              <w:t xml:space="preserve"> be used for the purpose of project fund management.)</w:t>
            </w:r>
          </w:p>
          <w:p>
            <w:pPr>
              <w:pStyle w:val="ListParagraph"/>
              <w:widowControl w:val="false"/>
              <w:numPr>
                <w:ilvl w:val="0"/>
                <w:numId w:val="3"/>
              </w:numPr>
              <w:spacing w:lineRule="auto" w:line="240" w:before="0" w:after="0"/>
              <w:ind w:left="720" w:right="0" w:hanging="360"/>
              <w:contextualSpacing/>
              <w:rPr>
                <w:sz w:val="24"/>
                <w:szCs w:val="24"/>
              </w:rPr>
            </w:pPr>
            <w:r>
              <w:rPr>
                <w:sz w:val="24"/>
                <w:szCs w:val="24"/>
              </w:rPr>
              <w:t>Submit a project report after completion of the proposed activities, as per instructions provided in the signed agreement.</w:t>
            </w:r>
          </w:p>
          <w:p>
            <w:pPr>
              <w:pStyle w:val="ListParagraph"/>
              <w:widowControl w:val="false"/>
              <w:numPr>
                <w:ilvl w:val="0"/>
                <w:numId w:val="3"/>
              </w:numPr>
              <w:spacing w:lineRule="auto" w:line="240" w:before="0" w:after="0"/>
              <w:ind w:left="720" w:right="0" w:hanging="360"/>
              <w:contextualSpacing/>
              <w:rPr/>
            </w:pPr>
            <w:r>
              <w:rPr>
                <w:sz w:val="24"/>
                <w:szCs w:val="24"/>
              </w:rPr>
              <w:t>Prepare an article on the project for publication on the IAMCR website and distribution to the membership.</w:t>
            </w:r>
          </w:p>
          <w:p>
            <w:pPr>
              <w:pStyle w:val="ListParagraph"/>
              <w:widowControl w:val="false"/>
              <w:numPr>
                <w:ilvl w:val="0"/>
                <w:numId w:val="3"/>
              </w:numPr>
              <w:spacing w:lineRule="auto" w:line="240" w:before="0" w:after="0"/>
              <w:ind w:left="720" w:right="0" w:hanging="360"/>
              <w:contextualSpacing/>
              <w:rPr/>
            </w:pPr>
            <w:r>
              <w:rPr>
                <w:sz w:val="24"/>
                <w:szCs w:val="24"/>
              </w:rPr>
              <w:t>Acknowledge IAMCR as (one of) the funding source(s) in publications and promotional materials that are materialised with the funds.</w:t>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r>
        <w:br w:type="page"/>
      </w:r>
    </w:p>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pPr>
            <w:r>
              <w:rPr/>
            </w:r>
          </w:p>
          <w:p>
            <w:pPr>
              <w:pStyle w:val="Normal"/>
              <w:widowControl w:val="false"/>
              <w:spacing w:lineRule="auto" w:line="240" w:before="0" w:after="0"/>
              <w:rPr/>
            </w:pPr>
            <w:r>
              <w:rPr>
                <w:b/>
                <w:sz w:val="24"/>
                <w:szCs w:val="24"/>
              </w:rPr>
              <w:t>Applications can be submitted anytime of the year but will be evaluated two times a year, as per the following timelines:</w:t>
            </w:r>
          </w:p>
          <w:p>
            <w:pPr>
              <w:pStyle w:val="Normal"/>
              <w:widowControl w:val="false"/>
              <w:spacing w:lineRule="auto" w:line="240" w:before="0" w:after="0"/>
              <w:rPr>
                <w:b/>
                <w:b/>
                <w:sz w:val="24"/>
                <w:szCs w:val="24"/>
              </w:rPr>
            </w:pPr>
            <w:r>
              <w:rPr>
                <w:b/>
                <w:sz w:val="24"/>
                <w:szCs w:val="24"/>
              </w:rPr>
            </w:r>
          </w:p>
          <w:tbl>
            <w:tblPr>
              <w:tblW w:w="904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4501"/>
              <w:gridCol w:w="4538"/>
            </w:tblGrid>
            <w:tr>
              <w:trPr/>
              <w:tc>
                <w:tcPr>
                  <w:tcW w:w="4501" w:type="dxa"/>
                  <w:tcBorders>
                    <w:top w:val="single" w:sz="4" w:space="0" w:color="000001"/>
                    <w:left w:val="single" w:sz="4" w:space="0" w:color="000001"/>
                    <w:bottom w:val="single" w:sz="4" w:space="0" w:color="000001"/>
                    <w:insideH w:val="single" w:sz="4" w:space="0" w:color="000001"/>
                  </w:tcBorders>
                  <w:shd w:fill="FFFFFF" w:val="clear"/>
                </w:tcPr>
                <w:p>
                  <w:pPr>
                    <w:pStyle w:val="Normal"/>
                    <w:widowControl w:val="false"/>
                    <w:spacing w:lineRule="auto" w:line="240" w:before="0" w:after="0"/>
                    <w:rPr>
                      <w:b/>
                      <w:b/>
                      <w:sz w:val="24"/>
                      <w:szCs w:val="24"/>
                    </w:rPr>
                  </w:pPr>
                  <w:r>
                    <w:rPr>
                      <w:b/>
                      <w:sz w:val="24"/>
                      <w:szCs w:val="24"/>
                    </w:rPr>
                    <w:t xml:space="preserve">Application submitted </w:t>
                  </w:r>
                  <w:r>
                    <w:rPr>
                      <w:rFonts w:eastAsia="Calibri" w:cs="font405;Times New Roman"/>
                      <w:b/>
                      <w:color w:val="00000A"/>
                      <w:kern w:val="2"/>
                      <w:sz w:val="24"/>
                      <w:szCs w:val="24"/>
                      <w:lang w:val="en-GB" w:eastAsia="zh-CN" w:bidi="ar-SA"/>
                    </w:rPr>
                    <w:t>by</w:t>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rPr>
                      <w:b/>
                      <w:b/>
                      <w:sz w:val="24"/>
                      <w:szCs w:val="24"/>
                    </w:rPr>
                  </w:pPr>
                  <w:r>
                    <w:rPr>
                      <w:b/>
                      <w:sz w:val="24"/>
                      <w:szCs w:val="24"/>
                    </w:rPr>
                    <w:t>Announcement of decision on</w:t>
                  </w:r>
                </w:p>
              </w:tc>
            </w:tr>
            <w:tr>
              <w:trPr/>
              <w:tc>
                <w:tcPr>
                  <w:tcW w:w="4501" w:type="dxa"/>
                  <w:tcBorders>
                    <w:top w:val="single" w:sz="4" w:space="0" w:color="000001"/>
                    <w:left w:val="single" w:sz="4" w:space="0" w:color="000001"/>
                    <w:bottom w:val="single" w:sz="4" w:space="0" w:color="000001"/>
                    <w:insideH w:val="single" w:sz="4" w:space="0" w:color="000001"/>
                  </w:tcBorders>
                  <w:shd w:fill="FFFFFF" w:val="clear"/>
                </w:tcPr>
                <w:p>
                  <w:pPr>
                    <w:pStyle w:val="Normal"/>
                    <w:widowControl w:val="false"/>
                    <w:spacing w:lineRule="auto" w:line="240" w:before="0" w:after="0"/>
                    <w:ind w:left="186" w:right="0" w:hanging="0"/>
                    <w:rPr>
                      <w:sz w:val="24"/>
                      <w:szCs w:val="24"/>
                    </w:rPr>
                  </w:pPr>
                  <w:r>
                    <w:rPr>
                      <w:sz w:val="24"/>
                      <w:szCs w:val="24"/>
                    </w:rPr>
                    <w:t>31 January</w:t>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ind w:left="222" w:right="0" w:hanging="0"/>
                    <w:rPr>
                      <w:sz w:val="24"/>
                      <w:szCs w:val="24"/>
                    </w:rPr>
                  </w:pPr>
                  <w:r>
                    <w:rPr>
                      <w:sz w:val="24"/>
                      <w:szCs w:val="24"/>
                    </w:rPr>
                    <w:t>28 February</w:t>
                  </w:r>
                </w:p>
              </w:tc>
            </w:tr>
            <w:tr>
              <w:trPr/>
              <w:tc>
                <w:tcPr>
                  <w:tcW w:w="4501" w:type="dxa"/>
                  <w:tcBorders>
                    <w:top w:val="single" w:sz="4" w:space="0" w:color="000001"/>
                    <w:left w:val="single" w:sz="4" w:space="0" w:color="000001"/>
                    <w:bottom w:val="single" w:sz="4" w:space="0" w:color="000001"/>
                    <w:insideH w:val="single" w:sz="4" w:space="0" w:color="000001"/>
                  </w:tcBorders>
                  <w:shd w:fill="FFFFFF" w:val="clear"/>
                </w:tcPr>
                <w:p>
                  <w:pPr>
                    <w:pStyle w:val="Normal"/>
                    <w:widowControl w:val="false"/>
                    <w:spacing w:lineRule="auto" w:line="240" w:before="0" w:after="0"/>
                    <w:ind w:left="186" w:right="0" w:hanging="0"/>
                    <w:rPr/>
                  </w:pPr>
                  <w:r>
                    <w:rPr>
                      <w:sz w:val="24"/>
                      <w:szCs w:val="24"/>
                    </w:rPr>
                    <w:t>31 October</w:t>
                  </w:r>
                </w:p>
              </w:tc>
              <w:tc>
                <w:tcPr>
                  <w:tcW w:w="45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widowControl w:val="false"/>
                    <w:spacing w:lineRule="auto" w:line="240" w:before="0" w:after="0"/>
                    <w:ind w:left="222" w:right="0" w:hanging="0"/>
                    <w:rPr/>
                  </w:pPr>
                  <w:r>
                    <w:rPr>
                      <w:sz w:val="24"/>
                      <w:szCs w:val="24"/>
                    </w:rPr>
                    <w:t>30 November</w:t>
                  </w:r>
                </w:p>
              </w:tc>
            </w:tr>
          </w:tbl>
          <w:p>
            <w:pPr>
              <w:pStyle w:val="Normal"/>
              <w:widowControl w:val="false"/>
              <w:spacing w:lineRule="auto" w:line="240" w:before="0" w:after="0"/>
              <w:jc w:val="center"/>
              <w:rPr>
                <w:b/>
                <w:b/>
                <w:sz w:val="24"/>
                <w:szCs w:val="24"/>
              </w:rPr>
            </w:pPr>
            <w:r>
              <w:rPr>
                <w:b/>
                <w:sz w:val="24"/>
                <w:szCs w:val="24"/>
              </w:rPr>
            </w:r>
          </w:p>
          <w:p>
            <w:pPr>
              <w:pStyle w:val="Normal"/>
              <w:widowControl w:val="false"/>
              <w:spacing w:lineRule="auto" w:line="240" w:before="0" w:after="0"/>
              <w:rPr>
                <w:sz w:val="24"/>
                <w:szCs w:val="24"/>
              </w:rPr>
            </w:pPr>
            <w:r>
              <w:rPr>
                <w:sz w:val="24"/>
                <w:szCs w:val="24"/>
              </w:rPr>
              <w:t>After approval and signing of the agreement, the project should be launched as soon as possible and the applicant should adhere to the reporting requirements.</w:t>
            </w:r>
          </w:p>
          <w:p>
            <w:pPr>
              <w:pStyle w:val="Normal"/>
              <w:widowControl w:val="false"/>
              <w:spacing w:lineRule="auto" w:line="240" w:before="0" w:after="0"/>
              <w:rPr/>
            </w:pPr>
            <w:r>
              <w:rPr/>
            </w:r>
          </w:p>
          <w:p>
            <w:pPr>
              <w:pStyle w:val="Normal"/>
              <w:widowControl w:val="false"/>
              <w:spacing w:lineRule="auto" w:line="240" w:before="0" w:after="0"/>
              <w:rPr>
                <w:sz w:val="24"/>
                <w:szCs w:val="24"/>
              </w:rPr>
            </w:pPr>
            <w:bookmarkStart w:id="0" w:name="_GoBack"/>
            <w:bookmarkEnd w:id="0"/>
            <w:r>
              <w:rPr>
                <w:sz w:val="24"/>
                <w:szCs w:val="24"/>
              </w:rPr>
              <w:t>To apply for the S&amp;WG fund, please complete the form below and send it to the IAMCR Treasurer, Elske van de Fliert &lt;e.vandefliert@uq.edu.au&gt;.</w:t>
            </w:r>
          </w:p>
        </w:tc>
      </w:tr>
    </w:tbl>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r>
        <w:br w:type="page"/>
      </w:r>
    </w:p>
    <w:p>
      <w:pPr>
        <w:pStyle w:val="Normal"/>
        <w:spacing w:lineRule="auto" w:line="240" w:before="0" w:after="0"/>
        <w:jc w:val="center"/>
        <w:rPr>
          <w:b/>
          <w:b/>
          <w:sz w:val="24"/>
          <w:szCs w:val="24"/>
        </w:rPr>
      </w:pPr>
      <w:r>
        <w:rPr>
          <w:b/>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58815" cy="96964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7" t="-44" r="-7" b="-44"/>
                    <a:stretch>
                      <a:fillRect/>
                    </a:stretch>
                  </pic:blipFill>
                  <pic:spPr bwMode="auto">
                    <a:xfrm>
                      <a:off x="0" y="0"/>
                      <a:ext cx="5758815" cy="969645"/>
                    </a:xfrm>
                    <a:prstGeom prst="rect">
                      <a:avLst/>
                    </a:prstGeom>
                  </pic:spPr>
                </pic:pic>
              </a:graphicData>
            </a:graphic>
          </wp:anchor>
        </w:drawing>
      </w:r>
    </w:p>
    <w:p>
      <w:pPr>
        <w:pStyle w:val="Normal"/>
        <w:spacing w:lineRule="auto" w:line="240" w:before="0" w:after="0"/>
        <w:jc w:val="center"/>
        <w:rPr/>
      </w:pPr>
      <w:r>
        <w:rPr>
          <w:b/>
          <w:sz w:val="24"/>
          <w:szCs w:val="24"/>
        </w:rPr>
        <w:t>Application form IAMCR S&amp;WG projects</w:t>
      </w:r>
    </w:p>
    <w:p>
      <w:pPr>
        <w:pStyle w:val="Normal"/>
        <w:spacing w:lineRule="auto" w:line="240" w:before="120" w:after="120"/>
        <w:jc w:val="center"/>
        <w:rPr>
          <w:sz w:val="24"/>
          <w:szCs w:val="24"/>
        </w:rPr>
      </w:pPr>
      <w:r>
        <w:rPr>
          <w:sz w:val="24"/>
          <w:szCs w:val="24"/>
        </w:rPr>
        <w:t>To be sent to the IAMCR Treasurer, Elske van de Fliert &lt;e.vandefliert@uq.edu.au&gt;</w:t>
      </w:r>
    </w:p>
    <w:p>
      <w:pPr>
        <w:pStyle w:val="Normal"/>
        <w:spacing w:lineRule="auto" w:line="240" w:before="0" w:after="0"/>
        <w:rPr>
          <w:sz w:val="24"/>
          <w:szCs w:val="24"/>
        </w:rPr>
      </w:pPr>
      <w:r>
        <w:rPr>
          <w:sz w:val="24"/>
          <w:szCs w:val="24"/>
        </w:rPr>
      </w:r>
    </w:p>
    <w:p>
      <w:pPr>
        <w:pStyle w:val="Normal"/>
        <w:spacing w:lineRule="auto" w:line="240" w:before="0" w:after="0"/>
        <w:rPr>
          <w:b/>
          <w:b/>
          <w:sz w:val="24"/>
          <w:szCs w:val="24"/>
          <w:u w:val="single"/>
        </w:rPr>
      </w:pPr>
      <w:r>
        <w:rPr>
          <w:b/>
          <w:sz w:val="24"/>
          <w:szCs w:val="24"/>
          <w:u w:val="single"/>
        </w:rPr>
        <w:t>Part 1: Applicants</w:t>
      </w:r>
    </w:p>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Name of the IAMCR Section or Working Group</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Name(s) of the IAMCR Section or Working Group’s main applicant(s)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Contact information of the IAMCR Section or Working Group’s main applicant(s)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Name(s) of co-applicant Sections or Working Groups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Name(s) of the representative(s) of the co-applicant S/WG(s)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Contact information of the representative(s) of the co-applicant S/WG(s)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p>
      <w:pPr>
        <w:pStyle w:val="Normal"/>
        <w:rPr>
          <w:sz w:val="24"/>
          <w:szCs w:val="24"/>
        </w:rPr>
      </w:pPr>
      <w:r>
        <w:rPr>
          <w:sz w:val="24"/>
          <w:szCs w:val="24"/>
        </w:rPr>
      </w:r>
      <w:r>
        <w:br w:type="page"/>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u w:val="single"/>
        </w:rPr>
        <w:t>Part 2: Project description</w:t>
      </w:r>
    </w:p>
    <w:p>
      <w:pPr>
        <w:pStyle w:val="Normal"/>
        <w:spacing w:lineRule="auto" w:line="240" w:before="0" w:after="0"/>
        <w:rPr>
          <w:b/>
          <w:b/>
          <w:sz w:val="24"/>
          <w:szCs w:val="24"/>
          <w:u w:val="single"/>
        </w:rPr>
      </w:pPr>
      <w:r>
        <w:rPr>
          <w:b/>
          <w:sz w:val="24"/>
          <w:szCs w:val="24"/>
          <w:u w:val="single"/>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auto" w:line="240" w:before="0" w:after="0"/>
              <w:rPr/>
            </w:pPr>
            <w:r>
              <w:rPr>
                <w:sz w:val="24"/>
                <w:szCs w:val="24"/>
              </w:rPr>
              <w:t>Project title</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b/>
          <w:b/>
          <w:sz w:val="24"/>
          <w:szCs w:val="24"/>
          <w:u w:val="single"/>
        </w:rPr>
      </w:pPr>
      <w:r>
        <w:rPr>
          <w:b/>
          <w:sz w:val="24"/>
          <w:szCs w:val="24"/>
          <w:u w:val="single"/>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A brief description of the activities to be undertaken</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Specific project objectives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Project target group(s)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Expected outcomes (including project deliverables)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auto" w:line="240" w:before="0" w:after="0"/>
              <w:rPr/>
            </w:pPr>
            <w:r>
              <w:rPr>
                <w:sz w:val="24"/>
                <w:szCs w:val="24"/>
              </w:rPr>
              <w:t>Start and end date</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Workplan and time schedule</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4636"/>
        <w:gridCol w:w="2688"/>
        <w:gridCol w:w="1948"/>
      </w:tblGrid>
      <w:tr>
        <w:trPr/>
        <w:tc>
          <w:tcPr>
            <w:tcW w:w="92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auto" w:line="240" w:before="0" w:after="0"/>
              <w:rPr/>
            </w:pPr>
            <w:r>
              <w:rPr>
                <w:sz w:val="24"/>
                <w:szCs w:val="24"/>
              </w:rPr>
              <w:t>Budget</w:t>
            </w:r>
          </w:p>
        </w:tc>
      </w:tr>
      <w:tr>
        <w:trPr>
          <w:trHeight w:val="292" w:hRule="atLeast"/>
        </w:trPr>
        <w:tc>
          <w:tcPr>
            <w:tcW w:w="4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auto" w:line="240" w:before="0" w:after="0"/>
              <w:rPr/>
            </w:pPr>
            <w:r>
              <w:rPr>
                <w:i/>
                <w:iCs/>
                <w:sz w:val="24"/>
                <w:szCs w:val="24"/>
              </w:rPr>
              <w:t>Budget item</w:t>
            </w:r>
          </w:p>
        </w:tc>
        <w:tc>
          <w:tcPr>
            <w:tcW w:w="4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auto" w:line="240" w:before="0" w:after="0"/>
              <w:rPr/>
            </w:pPr>
            <w:r>
              <w:rPr>
                <w:i/>
                <w:iCs/>
                <w:sz w:val="24"/>
                <w:szCs w:val="24"/>
              </w:rPr>
              <w:t>Amount (in local currency)</w:t>
            </w:r>
          </w:p>
        </w:tc>
      </w:tr>
      <w:tr>
        <w:trPr>
          <w:trHeight w:val="292" w:hRule="atLeast"/>
        </w:trPr>
        <w:tc>
          <w:tcPr>
            <w:tcW w:w="4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widowControl w:val="false"/>
              <w:numPr>
                <w:ilvl w:val="0"/>
                <w:numId w:val="4"/>
              </w:numPr>
              <w:snapToGrid w:val="false"/>
              <w:spacing w:lineRule="auto" w:line="240" w:before="0" w:after="0"/>
              <w:contextualSpacing/>
              <w:rPr>
                <w:sz w:val="24"/>
                <w:szCs w:val="24"/>
              </w:rPr>
            </w:pPr>
            <w:r>
              <w:rPr>
                <w:sz w:val="24"/>
                <w:szCs w:val="24"/>
              </w:rPr>
            </w:r>
          </w:p>
        </w:tc>
        <w:tc>
          <w:tcPr>
            <w:tcW w:w="4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napToGrid w:val="false"/>
              <w:spacing w:lineRule="auto" w:line="240" w:before="0" w:after="0"/>
              <w:rPr>
                <w:sz w:val="24"/>
                <w:szCs w:val="24"/>
              </w:rPr>
            </w:pPr>
            <w:r>
              <w:rPr>
                <w:sz w:val="24"/>
                <w:szCs w:val="24"/>
              </w:rPr>
            </w:r>
          </w:p>
        </w:tc>
      </w:tr>
      <w:tr>
        <w:trPr>
          <w:trHeight w:val="292" w:hRule="atLeast"/>
        </w:trPr>
        <w:tc>
          <w:tcPr>
            <w:tcW w:w="4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widowControl w:val="false"/>
              <w:numPr>
                <w:ilvl w:val="0"/>
                <w:numId w:val="4"/>
              </w:numPr>
              <w:snapToGrid w:val="false"/>
              <w:spacing w:lineRule="auto" w:line="240" w:before="0" w:after="0"/>
              <w:contextualSpacing/>
              <w:rPr>
                <w:sz w:val="24"/>
                <w:szCs w:val="24"/>
              </w:rPr>
            </w:pPr>
            <w:r>
              <w:rPr>
                <w:sz w:val="24"/>
                <w:szCs w:val="24"/>
              </w:rPr>
            </w:r>
          </w:p>
        </w:tc>
        <w:tc>
          <w:tcPr>
            <w:tcW w:w="4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napToGrid w:val="false"/>
              <w:spacing w:lineRule="auto" w:line="240" w:before="0" w:after="0"/>
              <w:rPr>
                <w:sz w:val="24"/>
                <w:szCs w:val="24"/>
              </w:rPr>
            </w:pPr>
            <w:r>
              <w:rPr>
                <w:sz w:val="24"/>
                <w:szCs w:val="24"/>
              </w:rPr>
            </w:r>
          </w:p>
        </w:tc>
      </w:tr>
      <w:tr>
        <w:trPr>
          <w:trHeight w:val="292" w:hRule="atLeast"/>
        </w:trPr>
        <w:tc>
          <w:tcPr>
            <w:tcW w:w="4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widowControl w:val="false"/>
              <w:numPr>
                <w:ilvl w:val="0"/>
                <w:numId w:val="4"/>
              </w:numPr>
              <w:snapToGrid w:val="false"/>
              <w:spacing w:lineRule="auto" w:line="240" w:before="0" w:after="0"/>
              <w:contextualSpacing/>
              <w:rPr>
                <w:sz w:val="24"/>
                <w:szCs w:val="24"/>
              </w:rPr>
            </w:pPr>
            <w:r>
              <w:rPr>
                <w:sz w:val="24"/>
                <w:szCs w:val="24"/>
              </w:rPr>
            </w:r>
          </w:p>
        </w:tc>
        <w:tc>
          <w:tcPr>
            <w:tcW w:w="4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napToGrid w:val="false"/>
              <w:spacing w:lineRule="auto" w:line="240" w:before="0" w:after="0"/>
              <w:rPr>
                <w:sz w:val="24"/>
                <w:szCs w:val="24"/>
              </w:rPr>
            </w:pPr>
            <w:r>
              <w:rPr>
                <w:sz w:val="24"/>
                <w:szCs w:val="24"/>
              </w:rPr>
            </w:r>
          </w:p>
        </w:tc>
      </w:tr>
      <w:tr>
        <w:trPr>
          <w:trHeight w:val="292" w:hRule="atLeast"/>
        </w:trPr>
        <w:tc>
          <w:tcPr>
            <w:tcW w:w="4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widowControl w:val="false"/>
              <w:numPr>
                <w:ilvl w:val="0"/>
                <w:numId w:val="4"/>
              </w:numPr>
              <w:snapToGrid w:val="false"/>
              <w:spacing w:lineRule="auto" w:line="240" w:before="0" w:after="0"/>
              <w:contextualSpacing/>
              <w:rPr>
                <w:sz w:val="24"/>
                <w:szCs w:val="24"/>
              </w:rPr>
            </w:pPr>
            <w:r>
              <w:rPr>
                <w:sz w:val="24"/>
                <w:szCs w:val="24"/>
              </w:rPr>
            </w:r>
          </w:p>
        </w:tc>
        <w:tc>
          <w:tcPr>
            <w:tcW w:w="46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napToGrid w:val="false"/>
              <w:spacing w:lineRule="auto" w:line="240" w:before="0" w:after="0"/>
              <w:rPr>
                <w:sz w:val="24"/>
                <w:szCs w:val="24"/>
              </w:rPr>
            </w:pPr>
            <w:r>
              <w:rPr>
                <w:sz w:val="24"/>
                <w:szCs w:val="24"/>
              </w:rPr>
            </w:r>
          </w:p>
        </w:tc>
      </w:tr>
      <w:tr>
        <w:trPr>
          <w:trHeight w:val="292" w:hRule="atLeast"/>
        </w:trPr>
        <w:tc>
          <w:tcPr>
            <w:tcW w:w="4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napToGrid w:val="false"/>
              <w:spacing w:lineRule="auto" w:line="240" w:before="0" w:after="0"/>
              <w:rPr/>
            </w:pPr>
            <w:r>
              <w:rPr>
                <w:sz w:val="24"/>
                <w:szCs w:val="24"/>
              </w:rPr>
              <w:t>Total</w:t>
            </w:r>
          </w:p>
        </w:tc>
        <w:tc>
          <w:tcPr>
            <w:tcW w:w="2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napToGrid w:val="false"/>
              <w:spacing w:lineRule="auto" w:line="240" w:before="0" w:after="0"/>
              <w:rPr>
                <w:sz w:val="24"/>
                <w:szCs w:val="24"/>
              </w:rPr>
            </w:pPr>
            <w:r>
              <w:rPr>
                <w:sz w:val="24"/>
                <w:szCs w:val="24"/>
              </w:rPr>
            </w:r>
          </w:p>
        </w:tc>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napToGrid w:val="false"/>
              <w:spacing w:lineRule="auto" w:line="240" w:before="0" w:after="0"/>
              <w:rPr/>
            </w:pPr>
            <w:r>
              <w:rPr>
                <w:sz w:val="24"/>
                <w:szCs w:val="24"/>
              </w:rPr>
              <w:t xml:space="preserve">USD </w:t>
            </w:r>
          </w:p>
        </w:tc>
      </w:tr>
    </w:tbl>
    <w:p>
      <w:pPr>
        <w:pStyle w:val="Normal"/>
        <w:spacing w:lineRule="auto" w:line="240" w:before="0" w:after="0"/>
        <w:rPr/>
      </w:pPr>
      <w:r>
        <w:rPr/>
      </w:r>
    </w:p>
    <w:p>
      <w:pPr>
        <w:pStyle w:val="Normal"/>
        <w:spacing w:lineRule="auto" w:line="240" w:before="0" w:after="0"/>
        <w:rPr/>
      </w:pPr>
      <w:r>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pPr>
            <w:r>
              <w:rPr>
                <w:sz w:val="24"/>
                <w:szCs w:val="24"/>
              </w:rPr>
              <w:t xml:space="preserve">How will the project contribute to the fund's primary objective: </w:t>
            </w:r>
            <w:r>
              <w:rPr>
                <w:b/>
                <w:bCs/>
                <w:sz w:val="24"/>
                <w:szCs w:val="24"/>
              </w:rPr>
              <w:t>S</w:t>
            </w:r>
            <w:r>
              <w:rPr>
                <w:b/>
                <w:sz w:val="24"/>
                <w:szCs w:val="24"/>
              </w:rPr>
              <w:t>trengthen Section and Working Group activities outside the main IAMCR international conferences</w:t>
            </w:r>
            <w:r>
              <w:rPr>
                <w:sz w:val="24"/>
                <w:szCs w:val="24"/>
              </w:rPr>
              <w:t>?</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pPr>
      <w:r>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pPr>
            <w:r>
              <w:rPr>
                <w:sz w:val="24"/>
                <w:szCs w:val="24"/>
              </w:rPr>
              <w:t xml:space="preserve">Will the project contribute to secondary objective 1: </w:t>
            </w:r>
            <w:r>
              <w:rPr>
                <w:b/>
                <w:bCs/>
                <w:sz w:val="24"/>
                <w:szCs w:val="24"/>
              </w:rPr>
              <w:t>Increase the participation of IAMCR members in S&amp;WG activities</w:t>
            </w:r>
            <w:r>
              <w:rPr>
                <w:sz w:val="24"/>
                <w:szCs w:val="24"/>
              </w:rPr>
              <w:t>?</w:t>
            </w:r>
            <w:r>
              <w:rPr>
                <w:b/>
                <w:sz w:val="24"/>
                <w:szCs w:val="24"/>
              </w:rPr>
              <w:t xml:space="preserve"> </w:t>
            </w:r>
            <w:r>
              <w:rPr>
                <w:sz w:val="24"/>
                <w:szCs w:val="24"/>
              </w:rPr>
              <w:t>If so, how?</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rPr/>
      </w:pPr>
      <w:r>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pPr>
            <w:r>
              <w:rPr>
                <w:sz w:val="24"/>
                <w:szCs w:val="24"/>
              </w:rPr>
              <w:t xml:space="preserve">Will the project contribute to secondary objective 2: </w:t>
            </w:r>
            <w:r>
              <w:rPr>
                <w:b/>
                <w:bCs/>
                <w:sz w:val="24"/>
                <w:szCs w:val="24"/>
              </w:rPr>
              <w:t>Enhance interaction and collaboration between IAMCR S&amp;WGs beyond the main conference</w:t>
            </w:r>
            <w:r>
              <w:rPr>
                <w:sz w:val="24"/>
                <w:szCs w:val="24"/>
              </w:rPr>
              <w:t>? If so, how?</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pPr>
      <w:r>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Applicants are expected to obtain support for the activity from S&amp;WG members, to discuss it with members (at meetings or online) and to provide reports on progress. How did you/will you do this?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pPr>
      <w:r>
        <w:rPr/>
      </w:r>
    </w:p>
    <w:tbl>
      <w:tblPr>
        <w:tblW w:w="9272"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272"/>
      </w:tblGrid>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pacing w:lineRule="auto" w:line="240" w:before="0" w:after="0"/>
              <w:rPr>
                <w:sz w:val="24"/>
                <w:szCs w:val="24"/>
              </w:rPr>
            </w:pPr>
            <w:r>
              <w:rPr>
                <w:sz w:val="24"/>
                <w:szCs w:val="24"/>
              </w:rPr>
              <w:t>Applicants are required to present the project at the first IAMCR conference that takes place after confirmation of project approval has been received. How will you do this?</w:t>
            </w:r>
          </w:p>
        </w:tc>
      </w:tr>
      <w:tr>
        <w:trPr/>
        <w:tc>
          <w:tcPr>
            <w:tcW w:w="9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widowControl w:val="false"/>
              <w:snapToGrid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widowControl/>
        <w:suppressAutoHyphens w:val="true"/>
        <w:bidi w:val="0"/>
        <w:spacing w:lineRule="auto" w:line="276" w:before="0" w:after="200"/>
        <w:jc w:val="left"/>
        <w:rPr/>
      </w:pPr>
      <w:r>
        <w:rPr/>
      </w:r>
    </w:p>
    <w:sectPr>
      <w:footerReference w:type="default" r:id="rId6"/>
      <w:type w:val="nextPage"/>
      <w:pgSz w:w="11906" w:h="16838"/>
      <w:pgMar w:left="1417" w:right="1417" w:header="0" w:top="1276" w:footer="1417" w:bottom="194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sz w:val="20"/>
        <w:szCs w:val="20"/>
      </w:rPr>
      <w:t>Application form IAMCR S&amp;WG projects – Version 10/</w:t>
    </w:r>
    <w:r>
      <w:rPr>
        <w:rFonts w:eastAsia="Calibri" w:cs="font405;Times New Roman"/>
        <w:color w:val="00000A"/>
        <w:kern w:val="2"/>
        <w:sz w:val="20"/>
        <w:szCs w:val="20"/>
        <w:lang w:val="en-GB" w:eastAsia="zh-CN" w:bidi="ar-SA"/>
      </w:rPr>
      <w:t>10</w:t>
    </w:r>
    <w:r>
      <w:rPr>
        <w:sz w:val="20"/>
        <w:szCs w:val="20"/>
      </w:rPr>
      <w:t>/</w:t>
    </w:r>
    <w:r>
      <w:rPr>
        <w:rFonts w:eastAsia="Calibri" w:cs="font405;Times New Roman"/>
        <w:color w:val="00000A"/>
        <w:kern w:val="2"/>
        <w:sz w:val="20"/>
        <w:szCs w:val="20"/>
        <w:lang w:val="en-GB" w:eastAsia="zh-CN" w:bidi="ar-SA"/>
      </w:rPr>
      <w:t>23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sz w:val="24"/>
        <w:szCs w:val="2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sz w:val="24"/>
        <w:szCs w:val="24"/>
        <w:rFonts w:cs="Courier New"/>
        <w:lang w:val="en-US"/>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font405;Times New Roman"/>
      <w:color w:val="00000A"/>
      <w:kern w:val="2"/>
      <w:sz w:val="22"/>
      <w:szCs w:val="22"/>
      <w:lang w:val="en-GB" w:eastAsia="zh-CN" w:bidi="ar-SA"/>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sz w:val="24"/>
      <w:szCs w:val="24"/>
    </w:rPr>
  </w:style>
  <w:style w:type="character" w:styleId="WW8Num2z0">
    <w:name w:val="WW8Num2z0"/>
    <w:qFormat/>
    <w:rPr>
      <w:rFonts w:ascii="Symbol" w:hAnsi="Symbol" w:cs="Symbol"/>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sz w:val="24"/>
      <w:szCs w:val="24"/>
    </w:rPr>
  </w:style>
  <w:style w:type="character" w:styleId="WW8Num3z0">
    <w:name w:val="WW8Num3z0"/>
    <w:qFormat/>
    <w:rPr>
      <w:rFonts w:ascii="Symbol" w:hAnsi="Symbol" w:cs="Symbol"/>
      <w:sz w:val="24"/>
      <w:szCs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sz w:val="24"/>
      <w:szCs w:val="24"/>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DefaultParagraphFont11">
    <w:name w:val="WW-Default Paragraph Font11"/>
    <w:qFormat/>
    <w:rPr/>
  </w:style>
  <w:style w:type="character" w:styleId="InternetLink">
    <w:name w:val="Internet Link"/>
    <w:rPr>
      <w:color w:val="0000FF"/>
      <w:u w:val="single"/>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BalloonTextChar">
    <w:name w:val="Balloon Text Char"/>
    <w:qFormat/>
    <w:rPr>
      <w:rFonts w:ascii="Tahoma" w:hAnsi="Tahoma" w:cs="Tahoma"/>
      <w:sz w:val="16"/>
      <w:szCs w:val="16"/>
    </w:rPr>
  </w:style>
  <w:style w:type="character" w:styleId="Bullets">
    <w:name w:val="Bullets"/>
    <w:qFormat/>
    <w:rPr>
      <w:rFonts w:ascii="OpenSymbol;Arial Unicode MS" w:hAnsi="OpenSymbol;Arial Unicode MS" w:eastAsia="OpenSymbol;Arial Unicode MS" w:cs="OpenSymbol;Arial Unicode MS"/>
    </w:rPr>
  </w:style>
  <w:style w:type="character" w:styleId="CommentTextChar1">
    <w:name w:val="Comment Text Char1"/>
    <w:qFormat/>
    <w:rPr>
      <w:rFonts w:ascii="Calibri" w:hAnsi="Calibri" w:eastAsia="Calibri" w:cs="font405;Times New Roman"/>
      <w:color w:val="00000A"/>
      <w:lang w:eastAsia="zh-CN"/>
    </w:rPr>
  </w:style>
  <w:style w:type="character" w:styleId="CommentSubjectChar1">
    <w:name w:val="Comment Subject Char1"/>
    <w:qFormat/>
    <w:rPr>
      <w:rFonts w:ascii="Calibri" w:hAnsi="Calibri" w:eastAsia="Calibri" w:cs="font405;Times New Roman"/>
      <w:b/>
      <w:bCs/>
      <w:color w:val="00000A"/>
      <w:lang w:eastAsia="zh-CN"/>
    </w:rPr>
  </w:style>
  <w:style w:type="character" w:styleId="HeaderChar">
    <w:name w:val="Header Char"/>
    <w:qFormat/>
    <w:rPr>
      <w:rFonts w:ascii="Calibri" w:hAnsi="Calibri" w:eastAsia="Calibri" w:cs="font405;Times New Roman"/>
      <w:color w:val="00000A"/>
      <w:sz w:val="22"/>
      <w:szCs w:val="22"/>
      <w:lang w:eastAsia="zh-CN"/>
    </w:rPr>
  </w:style>
  <w:style w:type="character" w:styleId="ListLabel1">
    <w:name w:val="ListLabel 1"/>
    <w:qFormat/>
    <w:rPr>
      <w:rFonts w:cs="Symbol"/>
      <w:b/>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sz w:val="24"/>
      <w:szCs w:val="24"/>
    </w:rPr>
  </w:style>
  <w:style w:type="character" w:styleId="ListLabel29">
    <w:name w:val="ListLabel 29"/>
    <w:qFormat/>
    <w:rPr>
      <w:sz w:val="24"/>
      <w:szCs w:val="24"/>
      <w:lang w:val="en-US"/>
    </w:rPr>
  </w:style>
  <w:style w:type="character" w:styleId="ListLabel30">
    <w:name w:val="ListLabel 30"/>
    <w:qFormat/>
    <w:rPr>
      <w:rFonts w:cs="Symbol"/>
      <w:b/>
      <w:sz w:val="24"/>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sz w:val="24"/>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sz w:val="24"/>
    </w:rPr>
  </w:style>
  <w:style w:type="character" w:styleId="ListLabel58">
    <w:name w:val="ListLabel 58"/>
    <w:qFormat/>
    <w:rPr>
      <w:rFonts w:cs="Courier New"/>
      <w:sz w:val="24"/>
      <w:szCs w:val="24"/>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sz w:val="24"/>
      <w:szCs w:val="24"/>
      <w:lang w:val="en-US"/>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sz w:val="24"/>
      <w:szCs w:val="24"/>
    </w:rPr>
  </w:style>
  <w:style w:type="character" w:styleId="ListLabel67">
    <w:name w:val="ListLabel 67"/>
    <w:qFormat/>
    <w:rPr>
      <w:sz w:val="24"/>
      <w:szCs w:val="24"/>
      <w:lang w:val="en-US"/>
    </w:rPr>
  </w:style>
  <w:style w:type="character" w:styleId="ListLabel68">
    <w:name w:val="ListLabel 68"/>
    <w:qFormat/>
    <w:rPr>
      <w:rFonts w:cs="Symbol"/>
      <w:b/>
      <w:sz w:val="24"/>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sz w:val="24"/>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sz w:val="24"/>
    </w:rPr>
  </w:style>
  <w:style w:type="character" w:styleId="ListLabel96">
    <w:name w:val="ListLabel 96"/>
    <w:qFormat/>
    <w:rPr>
      <w:rFonts w:cs="Courier New"/>
      <w:sz w:val="24"/>
      <w:szCs w:val="24"/>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sz w:val="24"/>
      <w:szCs w:val="24"/>
      <w:lang w:val="en-US"/>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sz w:val="24"/>
      <w:szCs w:val="24"/>
    </w:rPr>
  </w:style>
  <w:style w:type="character" w:styleId="ListLabel105">
    <w:name w:val="ListLabel 105"/>
    <w:qFormat/>
    <w:rPr>
      <w:sz w:val="24"/>
      <w:szCs w:val="24"/>
      <w:lang w:val="en-US"/>
    </w:rPr>
  </w:style>
  <w:style w:type="character" w:styleId="ListLabel106">
    <w:name w:val="ListLabel 106"/>
    <w:qFormat/>
    <w:rPr>
      <w:rFonts w:cs="Symbol"/>
      <w:b/>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4"/>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4"/>
    </w:rPr>
  </w:style>
  <w:style w:type="character" w:styleId="ListLabel134">
    <w:name w:val="ListLabel 134"/>
    <w:qFormat/>
    <w:rPr>
      <w:rFonts w:cs="Courier New"/>
      <w:sz w:val="24"/>
      <w:szCs w:val="24"/>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sz w:val="24"/>
      <w:szCs w:val="24"/>
      <w:lang w:val="en-US"/>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sz w:val="24"/>
      <w:szCs w:val="24"/>
    </w:rPr>
  </w:style>
  <w:style w:type="character" w:styleId="ListLabel143">
    <w:name w:val="ListLabel 143"/>
    <w:qFormat/>
    <w:rPr>
      <w:sz w:val="24"/>
      <w:szCs w:val="24"/>
      <w:lang w:val="en-US"/>
    </w:rPr>
  </w:style>
  <w:style w:type="character" w:styleId="ListLabel144">
    <w:name w:val="ListLabel 144"/>
    <w:qFormat/>
    <w:rPr>
      <w:rFonts w:cs="Symbol"/>
      <w:b/>
      <w:sz w:val="24"/>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sz w:val="24"/>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sz w:val="24"/>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sz w:val="24"/>
    </w:rPr>
  </w:style>
  <w:style w:type="character" w:styleId="ListLabel172">
    <w:name w:val="ListLabel 172"/>
    <w:qFormat/>
    <w:rPr>
      <w:rFonts w:cs="Courier New"/>
      <w:sz w:val="24"/>
      <w:szCs w:val="24"/>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sz w:val="24"/>
      <w:szCs w:val="24"/>
      <w:lang w:val="en-US"/>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sz w:val="24"/>
      <w:szCs w:val="24"/>
    </w:rPr>
  </w:style>
  <w:style w:type="character" w:styleId="ListLabel181">
    <w:name w:val="ListLabel 181"/>
    <w:qFormat/>
    <w:rPr>
      <w:sz w:val="24"/>
      <w:szCs w:val="24"/>
      <w:lang w:val="en-US"/>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spacing w:before="0" w:after="200"/>
      <w:ind w:left="720" w:right="0" w:hanging="0"/>
      <w:contextualSpacing/>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Header">
    <w:name w:val="Header"/>
    <w:basedOn w:val="Normal"/>
    <w:pPr>
      <w:tabs>
        <w:tab w:val="clear" w:pos="708"/>
        <w:tab w:val="center" w:pos="4513" w:leader="none"/>
        <w:tab w:val="right" w:pos="9026"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amcr.org/objectives" TargetMode="External"/><Relationship Id="rId4" Type="http://schemas.openxmlformats.org/officeDocument/2006/relationships/hyperlink" Target="https://iamcr.org/governance/committees" TargetMode="External"/><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2941</TotalTime>
  <Application>LibreOffice/6.1.4.2$Windows_X86_64 LibreOffice_project/9d0f32d1f0b509096fd65e0d4bec26ddd1938fd3</Application>
  <Pages>6</Pages>
  <Words>1004</Words>
  <Characters>5500</Characters>
  <CharactersWithSpaces>6422</CharactersWithSpaces>
  <Paragraphs>67</Paragraphs>
  <Company>University of Queensland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2018-02-25T12:49:17Z</dcterms:created>
  <dc:creator/>
  <dc:description/>
  <dc:language>en-GB</dc:language>
  <cp:lastModifiedBy>Valeria Zamisch</cp:lastModifiedBy>
  <dcterms:modified xsi:type="dcterms:W3CDTF">2023-11-30T16:24:35Z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Queensland</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